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6" w:rsidRPr="00BB4DF6" w:rsidRDefault="00BB4DF6" w:rsidP="00BB4DF6">
      <w:pPr>
        <w:rPr>
          <w:b/>
          <w:u w:val="single"/>
        </w:rPr>
      </w:pPr>
      <w:r w:rsidRPr="00BB4DF6">
        <w:rPr>
          <w:b/>
          <w:u w:val="single"/>
        </w:rPr>
        <w:t xml:space="preserve">Curriculun Vitae de </w:t>
      </w:r>
      <w:r w:rsidRPr="00BB4DF6">
        <w:rPr>
          <w:b/>
          <w:u w:val="single"/>
        </w:rPr>
        <w:t>Ramón Betolaza</w:t>
      </w:r>
    </w:p>
    <w:p w:rsidR="00BB4DF6" w:rsidRDefault="00BB4DF6" w:rsidP="00BB4DF6">
      <w:r>
        <w:t xml:space="preserve">Fundador de Black Toro Capital, enfocado en invertir en el rescate de compañías en España, ha estado invirtiendo en situaciones especiales y rescate de compañías los últimos 17 años en Londres y Nueva </w:t>
      </w:r>
      <w:proofErr w:type="spellStart"/>
      <w:r>
        <w:t>York</w:t>
      </w:r>
      <w:proofErr w:type="spellEnd"/>
      <w:r>
        <w:t>.</w:t>
      </w:r>
    </w:p>
    <w:p w:rsidR="00BB4DF6" w:rsidRDefault="00BB4DF6" w:rsidP="00BB4DF6">
      <w:r>
        <w:t xml:space="preserve">En 2002, participo en la fundación de MatlinPatterson Advisers como spin-off del grupo de Distressed Securities de Credit Suisse, del que era parte desde 1997. MatlinPatterson se especializa en invertir en </w:t>
      </w:r>
    </w:p>
    <w:p w:rsidR="00BB4DF6" w:rsidRDefault="00BB4DF6" w:rsidP="00BB4DF6">
      <w:proofErr w:type="gramStart"/>
      <w:r>
        <w:t>distressed-for-control</w:t>
      </w:r>
      <w:proofErr w:type="gramEnd"/>
      <w:r>
        <w:t xml:space="preserve"> y cuenta con más de $9bn bajo gestión. Ha invertido y participado en el consejo de numerosas empresas internacionales en EEUU y Europa, tanto privadas como cotizadas. </w:t>
      </w:r>
    </w:p>
    <w:p w:rsidR="00BB4DF6" w:rsidRDefault="00BB4DF6" w:rsidP="00BB4DF6">
      <w:r>
        <w:t>MBA, summa cum laude, por el IE, donde actualmente es miembro del International Advisory Board y licenciado por la Universidad Comercial de Deusto.</w:t>
      </w:r>
    </w:p>
    <w:p w:rsidR="00BB4DF6" w:rsidRDefault="00BB4DF6" w:rsidP="00BB4DF6"/>
    <w:p w:rsidR="006460BA" w:rsidRDefault="006460BA"/>
    <w:sectPr w:rsidR="006460BA" w:rsidSect="00646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4DF6"/>
    <w:rsid w:val="003434A2"/>
    <w:rsid w:val="0056777E"/>
    <w:rsid w:val="006460BA"/>
    <w:rsid w:val="00BB4DF6"/>
    <w:rsid w:val="00D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  <w:pPr>
      <w:widowControl w:val="0"/>
      <w:tabs>
        <w:tab w:val="left" w:leader="hyphen" w:pos="7370"/>
      </w:tabs>
      <w:spacing w:line="560" w:lineRule="exact"/>
      <w:ind w:firstLine="567"/>
      <w:jc w:val="both"/>
    </w:pPr>
    <w:rPr>
      <w:rFonts w:ascii="Courier New" w:hAnsi="Courier New" w:cs="Courier New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6777E"/>
    <w:rPr>
      <w:b/>
      <w:bCs/>
    </w:rPr>
  </w:style>
  <w:style w:type="paragraph" w:styleId="Prrafodelista">
    <w:name w:val="List Paragraph"/>
    <w:basedOn w:val="Normal"/>
    <w:uiPriority w:val="34"/>
    <w:qFormat/>
    <w:rsid w:val="0056777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2014-03-26T11:15:00Z</dcterms:created>
  <dcterms:modified xsi:type="dcterms:W3CDTF">2014-03-26T11:16:00Z</dcterms:modified>
</cp:coreProperties>
</file>